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F6" w:rsidRPr="004D2AF6" w:rsidRDefault="004D2AF6" w:rsidP="004D2AF6">
      <w:pPr>
        <w:spacing w:after="486" w:line="411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</w:pPr>
      <w:r w:rsidRPr="004D2AF6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Негосударственный пенсионный фонд «Образование и наука»</w:t>
      </w:r>
    </w:p>
    <w:p w:rsidR="004D2AF6" w:rsidRPr="004D2AF6" w:rsidRDefault="004D2AF6" w:rsidP="004D2AF6">
      <w:pPr>
        <w:shd w:val="clear" w:color="auto" w:fill="FFFFFF"/>
        <w:spacing w:after="0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b/>
          <w:bCs/>
          <w:color w:val="3A3939"/>
          <w:sz w:val="28"/>
          <w:lang w:eastAsia="ru-RU"/>
        </w:rPr>
        <w:t>Негосударственный Пенсионный Фонд «Образование и наука»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 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Негосударственный Пенсионный Фонд «Образование и наука» создан в 1994г., является некоммерческой организацией социального обеспечения работников сферы образования и науки, а также их семей. Фонд осуществляет работу по двум основным направлениям: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— негосударственное пенсионное обеспечение (привлечение на добровольных началах денежных средств работников и работодателей для последующей выплаты гражданам негосударственных пенсий)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— обязательное пенсионное страхованию (управление накопительной частью пенсии)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Деятельность Фонда регулируется Федеральными законами № 75-ФЗ от 07.05.1998 «О негосударственных пенсионных фондах», № 7-ФЗ от 12.01.1996 «О некоммерческих организациях» и ФЗ — № 167 от 15.12.2001 «Об обязательном пенсионном страховании».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proofErr w:type="gramStart"/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Учредителями Фонда являются Профсоюз работников народного образования и науки РФ, Федеральное Агентство по образованию и ГК «Базовый Элемент» (до переименования в 2001г.</w:t>
      </w:r>
      <w:proofErr w:type="gramEnd"/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</w:t>
      </w:r>
      <w:proofErr w:type="gramStart"/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Группа «Сибирский Алюминий»).</w:t>
      </w:r>
      <w:proofErr w:type="gramEnd"/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 Основные активы Группы «Базовый Элемент сосредоточены в шести секторах – энергетическом, машиностроительном, ресурсном, финансовых услуг, строительном и авиационном». Владельцем компании «Базовый Элемент» является Олег Владимирович Дерипаска.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Пенсионный Фонд «Образование и наука» имеет государственную лицензию № 272 от 22.04.1997г. Инспекции НПФ при Министерстве труда и социального развития РФ и является членом Национальной ассоциации пенсионных фондов.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lastRenderedPageBreak/>
        <w:t>Фондом разработаны программы корпоративного пенсионного обеспечения, позволяющие руководителям высшего звена внедрять новые социально-финансовые технологии управления персоналом, решать проблемы ротации кадров и привлечения молодых специалистов, обеспечивать финансовую стабильность работников после выхода на пенсию.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Фонд осуществляет выплату негосударственных пенсий с 2003 года. Участники, получающие пенсию, проживают по всей территории РФ.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Вопросы реформирования пенсионной системы продолжают волновать    представителей Профсоюзов, работников отрасли.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Стратегия долгосрочного развития пенсионной реформы РФ до 2030 года принята 25.12.2012 года. Предполагалось, что выполнение предусмотренных мер позволит обеспечить достойный уровень пенсий граждан и развитие пенсионной системы, адекватной международным стандартам.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Предполагается тариф пенсионных отчислений оставить на нынешнем уровне – 22% (в настоящее время — 16% перечисляется на страховую часть и 6% — на накопительную часть пенсии).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Как известно, до конца 2013 года граждане 1967 г.р. и моложе должны сделать выбор. Если они выбирают негосударственный пенсионный фонд, объем отчислений в накопительную часть их пенсии остается на уровне 6%. Если же они остаются «молчунами», то размер этих отчислений сокращается до 2%, а 4% будут присоединены к страховой части и пойдут на текущие выплаты пенсионерам. Очень остро стоит вопрос о том, что у «молчунов» с января 2014 года «обнулят» всю накопительную часть пенсии. При успешном управлении накопительной пенсией – ее размер может составить существенное дополнение к страховой пенсии. И такое управление, на сегодняшний день, могут обеспечить только негосударственные пенсионные фонды. Следует добавить, что накопительная пенсия – та часть, которая наследуется в установленном порядке.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Таким образом, нашим работникам необходимо в кратчайшие сроки определиться, какой процент накопительной части пенсии они оставят за собой. Если промолчат, не перейдут в негосударственный пенсионный фонд, </w:t>
      </w: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lastRenderedPageBreak/>
        <w:t>то 4% взноса будут переданы на страховую часть пенсии, вся накопительная часть составит в лучшем случае 2% или будет «обнулена». Необходимо определиться, будут ли они уменьшать размер своей накопительной составляющей за счет передачи ее части в страховую часть трудовой пенсии или нет.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Общероссийский Профсоюз образования располагает единственным в бюджетной сфере отраслевым негосударственным пенсионным фондом «Образование и наука», который способен предложить работникам образования высокую доходность и надежность в случае сотрудничества с ним.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 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ОБЩЕРОССИЙСКИЙ ПРОФСОЮЗ ОБРАЗОВАНИЯ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Краснодарская краевая организация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 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861 255-64-85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350000, г. Краснодар, ул. </w:t>
      </w:r>
      <w:proofErr w:type="gramStart"/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Красноармейская</w:t>
      </w:r>
      <w:proofErr w:type="gramEnd"/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, 70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 </w:t>
      </w:r>
    </w:p>
    <w:p w:rsidR="004D2AF6" w:rsidRPr="004D2AF6" w:rsidRDefault="004D2AF6" w:rsidP="004D2AF6">
      <w:pPr>
        <w:shd w:val="clear" w:color="auto" w:fill="FFFFFF"/>
        <w:spacing w:after="0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b/>
          <w:bCs/>
          <w:color w:val="3A3939"/>
          <w:sz w:val="28"/>
          <w:lang w:eastAsia="ru-RU"/>
        </w:rPr>
        <w:t>КРЕДИТНЫЙ ПОТРЕБИТЕЛЬСКИЙ КООПЕРАТИВ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 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Членами кредитного кооператива могут быть: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— физические лица, достигшие возраста 16 лет, являющиеся членами Профсоюза работников народного образования и науки Российской Федерации, признающие Устав кредитного кооператива и иные его внутренние документы;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— юридические лица: Краснодарская краевая территориальная организация Профсоюза работников народного образования и науки РФ и профсоюзные организации, являющиеся юридическими лицами, непосредственно входящие в ее структуру, организации системы образования Краснодарского </w:t>
      </w: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lastRenderedPageBreak/>
        <w:t>края, имеющие первичные организации Профсоюза работников народного образования и науки РФ, признающие Устав и внутренние нормативные документы кредитного кооператива. Юридическое лицо — член кредитного кооператива — участвует в деятельности кредитного кооператива через своего представителя.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Основная деятельность КПК «Кредитно-сберегательный союз работников образования и науки» состоит в организации финансовой взаимопомощи членам кредитного кооператива путем сбережения их средств и предоставления займов.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 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Всю дополнительную информацию Вы можете получить по адресу: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 xml:space="preserve">350000 г. Краснодар, ул. </w:t>
      </w:r>
      <w:proofErr w:type="gramStart"/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Красноармейская</w:t>
      </w:r>
      <w:proofErr w:type="gramEnd"/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, 70, каб.№4.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Телефон (факс): (861) 253-16-52.</w:t>
      </w:r>
    </w:p>
    <w:p w:rsidR="004D2AF6" w:rsidRPr="004D2AF6" w:rsidRDefault="004D2AF6" w:rsidP="004D2AF6">
      <w:pPr>
        <w:shd w:val="clear" w:color="auto" w:fill="FFFFFF"/>
        <w:spacing w:after="243" w:line="411" w:lineRule="atLeast"/>
        <w:textAlignment w:val="baseline"/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</w:pPr>
      <w:r w:rsidRPr="004D2AF6">
        <w:rPr>
          <w:rFonts w:ascii="inherit" w:eastAsia="Times New Roman" w:hAnsi="inherit" w:cs="Helvetica"/>
          <w:color w:val="3A3939"/>
          <w:sz w:val="28"/>
          <w:szCs w:val="28"/>
          <w:lang w:eastAsia="ru-RU"/>
        </w:rPr>
        <w:t>Либо в выборном профсоюзном органе Вашего района (города, вуза).</w:t>
      </w:r>
    </w:p>
    <w:p w:rsidR="00A77E19" w:rsidRDefault="00A77E19"/>
    <w:sectPr w:rsidR="00A77E19" w:rsidSect="00A7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2AF6"/>
    <w:rsid w:val="004D2AF6"/>
    <w:rsid w:val="00A7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19"/>
  </w:style>
  <w:style w:type="paragraph" w:styleId="1">
    <w:name w:val="heading 1"/>
    <w:basedOn w:val="a"/>
    <w:link w:val="10"/>
    <w:uiPriority w:val="9"/>
    <w:qFormat/>
    <w:rsid w:val="004D2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A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2017-11-17T08:41:00Z</dcterms:created>
  <dcterms:modified xsi:type="dcterms:W3CDTF">2017-11-17T08:41:00Z</dcterms:modified>
</cp:coreProperties>
</file>